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719BC1" w14:textId="77777777" w:rsidR="00D80278" w:rsidRDefault="00D80278">
      <w:pPr>
        <w:rPr>
          <w:rFonts w:ascii="Times-Roman" w:hAnsi="Times-Roman"/>
          <w:snapToGrid w:val="0"/>
          <w:sz w:val="24"/>
        </w:rPr>
      </w:pPr>
      <w:r>
        <w:rPr>
          <w:rFonts w:ascii="Times-Roman" w:hAnsi="Times-Roman"/>
          <w:snapToGrid w:val="0"/>
          <w:sz w:val="24"/>
        </w:rPr>
        <w:t>Name_________________________________ Period _____________ Date ________________</w:t>
      </w:r>
    </w:p>
    <w:p w14:paraId="5B70F39C" w14:textId="77777777" w:rsidR="00D80278" w:rsidRDefault="00D80278">
      <w:pPr>
        <w:rPr>
          <w:rFonts w:ascii="Times-Roman" w:hAnsi="Times-Roman"/>
          <w:snapToGrid w:val="0"/>
          <w:sz w:val="24"/>
        </w:rPr>
      </w:pPr>
    </w:p>
    <w:p w14:paraId="173E7FDE" w14:textId="77777777" w:rsidR="00D44F28" w:rsidRDefault="00061472">
      <w:pPr>
        <w:rPr>
          <w:rFonts w:ascii="Times-Bold" w:hAnsi="Times-Bold"/>
          <w:b/>
          <w:snapToGrid w:val="0"/>
          <w:sz w:val="24"/>
        </w:rPr>
      </w:pPr>
      <w:r>
        <w:rPr>
          <w:rFonts w:ascii="Times-Bold" w:hAnsi="Times-Bold"/>
          <w:b/>
          <w:noProof/>
          <w:snapToGrid w:val="0"/>
          <w:sz w:val="24"/>
        </w:rPr>
        <w:drawing>
          <wp:inline distT="0" distB="0" distL="0" distR="0" wp14:anchorId="0B54DF9E" wp14:editId="521370B0">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53BC2A1C" w14:textId="77777777" w:rsidR="00D44F28" w:rsidRDefault="00D44F28">
      <w:pPr>
        <w:rPr>
          <w:rFonts w:ascii="Times-Bold" w:hAnsi="Times-Bold"/>
          <w:b/>
          <w:snapToGrid w:val="0"/>
          <w:sz w:val="24"/>
        </w:rPr>
      </w:pPr>
    </w:p>
    <w:p w14:paraId="74A8526E" w14:textId="77777777" w:rsidR="00D80278" w:rsidRDefault="00D80278">
      <w:pPr>
        <w:rPr>
          <w:rFonts w:ascii="Times-Bold" w:hAnsi="Times-Bold"/>
          <w:b/>
          <w:snapToGrid w:val="0"/>
          <w:sz w:val="24"/>
        </w:rPr>
      </w:pPr>
      <w:r>
        <w:rPr>
          <w:rFonts w:ascii="Times-Bold" w:hAnsi="Times-Bold"/>
          <w:b/>
          <w:snapToGrid w:val="0"/>
          <w:sz w:val="24"/>
        </w:rPr>
        <w:t>Lesson 2: Comparing RI</w:t>
      </w:r>
    </w:p>
    <w:p w14:paraId="786F3321" w14:textId="77777777" w:rsidR="00D80278" w:rsidRDefault="00D80278">
      <w:pPr>
        <w:pStyle w:val="BodyText"/>
      </w:pPr>
      <w:r>
        <w:t xml:space="preserve">The households in the town are very wary of getting food poisoning. Calculating the relative risk of infection for each restaurant is important for others who have eaten there. A large risk of infection will worry the people that have eaten at the restaurant, but a small risk of infection will be a relief for others. Help the curious households to find how likely they are to get sick.  </w:t>
      </w:r>
    </w:p>
    <w:p w14:paraId="5D096BDA" w14:textId="77777777" w:rsidR="00D80278" w:rsidRDefault="00D80278">
      <w:pPr>
        <w:jc w:val="both"/>
        <w:rPr>
          <w:rFonts w:ascii="Times-Bold" w:hAnsi="Times-Bold"/>
          <w:b/>
          <w:snapToGrid w:val="0"/>
          <w:sz w:val="16"/>
        </w:rPr>
      </w:pPr>
    </w:p>
    <w:p w14:paraId="4D7B7591" w14:textId="77777777" w:rsidR="00D80278" w:rsidRDefault="00D80278">
      <w:pPr>
        <w:jc w:val="both"/>
        <w:rPr>
          <w:rFonts w:ascii="Times-Bold" w:hAnsi="Times-Bold"/>
          <w:b/>
          <w:snapToGrid w:val="0"/>
          <w:sz w:val="24"/>
        </w:rPr>
      </w:pPr>
      <w:r>
        <w:rPr>
          <w:rFonts w:ascii="Times-Bold" w:hAnsi="Times-Bold"/>
          <w:b/>
          <w:snapToGrid w:val="0"/>
          <w:sz w:val="24"/>
        </w:rPr>
        <w:t>Doing the Science</w:t>
      </w:r>
    </w:p>
    <w:p w14:paraId="145A20AF" w14:textId="77777777" w:rsidR="00D80278" w:rsidRDefault="00D80278">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Funky Food Simulation by clicking on the “Sim” tab.</w:t>
      </w:r>
    </w:p>
    <w:p w14:paraId="60A4875B" w14:textId="77777777" w:rsidR="00D80278" w:rsidRDefault="00D80278">
      <w:pPr>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t>Read the instructions provided on the screen.</w:t>
      </w:r>
    </w:p>
    <w:p w14:paraId="22E9873A" w14:textId="77777777" w:rsidR="00D80278" w:rsidRDefault="00D80278">
      <w:pPr>
        <w:jc w:val="both"/>
        <w:rPr>
          <w:rFonts w:ascii="Times-Roman" w:hAnsi="Times-Roman"/>
          <w:snapToGrid w:val="0"/>
          <w:sz w:val="24"/>
        </w:rPr>
      </w:pPr>
      <w:r>
        <w:rPr>
          <w:rFonts w:ascii="Times-Roman" w:hAnsi="Times-Roman"/>
          <w:snapToGrid w:val="0"/>
          <w:sz w:val="24"/>
        </w:rPr>
        <w:t xml:space="preserve">3. </w:t>
      </w:r>
      <w:r>
        <w:rPr>
          <w:rFonts w:ascii="Times-Roman" w:hAnsi="Times-Roman"/>
          <w:snapToGrid w:val="0"/>
          <w:sz w:val="24"/>
        </w:rPr>
        <w:tab/>
        <w:t xml:space="preserve">Click on any orange dot, which represents a household. </w:t>
      </w:r>
    </w:p>
    <w:p w14:paraId="73F57563" w14:textId="77777777" w:rsidR="00D80278" w:rsidRDefault="00D80278">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The household will display what restaurant they ate at and if they got infected or not. According to the information provided, click on the restaurant name under the “Infected” or “Not Infected” boxes to add the household into the count.</w:t>
      </w:r>
    </w:p>
    <w:p w14:paraId="2AA55572" w14:textId="77777777" w:rsidR="00D80278" w:rsidRDefault="00D80278">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If you make a mistake, click on the Undo button (the curved arrow).</w:t>
      </w:r>
    </w:p>
    <w:p w14:paraId="23CBC145" w14:textId="77777777" w:rsidR="00D80278" w:rsidRDefault="00D80278">
      <w:pPr>
        <w:jc w:val="both"/>
        <w:rPr>
          <w:rFonts w:ascii="Times-Roman" w:hAnsi="Times-Roman"/>
          <w:snapToGrid w:val="0"/>
          <w:sz w:val="24"/>
        </w:rPr>
      </w:pPr>
      <w:r>
        <w:rPr>
          <w:rFonts w:ascii="Times-Roman" w:hAnsi="Times-Roman"/>
          <w:snapToGrid w:val="0"/>
          <w:sz w:val="24"/>
        </w:rPr>
        <w:t xml:space="preserve">6. </w:t>
      </w:r>
      <w:r>
        <w:rPr>
          <w:rFonts w:ascii="Times-Roman" w:hAnsi="Times-Roman"/>
          <w:snapToGrid w:val="0"/>
          <w:sz w:val="24"/>
        </w:rPr>
        <w:tab/>
        <w:t>Repeat steps 3 - 4 for all the houses in the town.</w:t>
      </w:r>
    </w:p>
    <w:p w14:paraId="5AC23926" w14:textId="77777777" w:rsidR="00D80278" w:rsidRDefault="00D80278">
      <w:pPr>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 on the “Analyze” button.</w:t>
      </w:r>
    </w:p>
    <w:p w14:paraId="681752C6" w14:textId="77777777" w:rsidR="00D80278" w:rsidRDefault="00D80278">
      <w:pPr>
        <w:ind w:left="720" w:hanging="720"/>
        <w:jc w:val="both"/>
        <w:rPr>
          <w:rFonts w:ascii="Times-Roman" w:hAnsi="Times-Roman"/>
          <w:snapToGrid w:val="0"/>
          <w:sz w:val="24"/>
        </w:rPr>
      </w:pPr>
      <w:r>
        <w:rPr>
          <w:rFonts w:ascii="Times-Roman" w:hAnsi="Times-Roman"/>
          <w:snapToGrid w:val="0"/>
          <w:sz w:val="24"/>
        </w:rPr>
        <w:t xml:space="preserve">8. </w:t>
      </w:r>
      <w:r>
        <w:rPr>
          <w:rFonts w:ascii="Times-Roman" w:hAnsi="Times-Roman"/>
          <w:snapToGrid w:val="0"/>
          <w:sz w:val="24"/>
        </w:rPr>
        <w:tab/>
        <w:t xml:space="preserve">Beside “Hypothesis: Exposure to” use the </w:t>
      </w:r>
      <w:proofErr w:type="gramStart"/>
      <w:r>
        <w:rPr>
          <w:rFonts w:ascii="Times-Roman" w:hAnsi="Times-Roman"/>
          <w:snapToGrid w:val="0"/>
          <w:sz w:val="24"/>
        </w:rPr>
        <w:t>drop down</w:t>
      </w:r>
      <w:proofErr w:type="gramEnd"/>
      <w:r>
        <w:rPr>
          <w:rFonts w:ascii="Times-Roman" w:hAnsi="Times-Roman"/>
          <w:snapToGrid w:val="0"/>
          <w:sz w:val="24"/>
        </w:rPr>
        <w:t xml:space="preserve"> menu to hypothesize the cause of the infection by clicking on the restaurant name.</w:t>
      </w:r>
    </w:p>
    <w:p w14:paraId="61CF6C51" w14:textId="77777777" w:rsidR="00D80278" w:rsidRDefault="00D80278">
      <w:pPr>
        <w:ind w:left="720" w:hanging="720"/>
        <w:jc w:val="both"/>
        <w:rPr>
          <w:rFonts w:ascii="Times-Roman" w:hAnsi="Times-Roman"/>
          <w:snapToGrid w:val="0"/>
          <w:sz w:val="24"/>
        </w:rPr>
      </w:pPr>
      <w:r>
        <w:rPr>
          <w:rFonts w:ascii="Times-Roman" w:hAnsi="Times-Roman"/>
          <w:snapToGrid w:val="0"/>
          <w:sz w:val="24"/>
        </w:rPr>
        <w:t>9.</w:t>
      </w:r>
      <w:r>
        <w:rPr>
          <w:rFonts w:ascii="Times-Roman" w:hAnsi="Times-Roman"/>
          <w:snapToGrid w:val="0"/>
          <w:sz w:val="24"/>
        </w:rPr>
        <w:tab/>
        <w:t>Using your hypothesis, fill out the table. If you need help, click on the question marks beside the text boxes.</w:t>
      </w:r>
    </w:p>
    <w:p w14:paraId="6D7B38F6" w14:textId="77777777" w:rsidR="00D80278" w:rsidRDefault="00D80278">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You can always return to the previous screen using the “Back” button to look at the counts for the homes that were infected and those that weren’t. Click on “Analyze” to return to the hypothesis screen and continue filling out the table.</w:t>
      </w:r>
    </w:p>
    <w:p w14:paraId="2B4537E5" w14:textId="77777777" w:rsidR="00D80278" w:rsidRDefault="00D80278">
      <w:pPr>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Click on “Calculate R.I.” to find the relative risk of infection.</w:t>
      </w:r>
    </w:p>
    <w:p w14:paraId="197E0FDB" w14:textId="77777777" w:rsidR="00D80278" w:rsidRDefault="00D80278">
      <w:pPr>
        <w:jc w:val="both"/>
        <w:rPr>
          <w:rFonts w:ascii="Times-Roman" w:hAnsi="Times-Roman"/>
          <w:snapToGrid w:val="0"/>
          <w:sz w:val="24"/>
        </w:rPr>
      </w:pPr>
      <w:r>
        <w:rPr>
          <w:rFonts w:ascii="Times-Roman" w:hAnsi="Times-Roman"/>
          <w:snapToGrid w:val="0"/>
          <w:sz w:val="24"/>
        </w:rPr>
        <w:t>12.</w:t>
      </w:r>
      <w:r>
        <w:rPr>
          <w:rFonts w:ascii="Times-Roman" w:hAnsi="Times-Roman"/>
          <w:snapToGrid w:val="0"/>
          <w:sz w:val="24"/>
        </w:rPr>
        <w:tab/>
        <w:t>Click on “Help with R.I.” to view the equations of how the Relative R.I. is calculated.</w:t>
      </w:r>
    </w:p>
    <w:p w14:paraId="1432F8DD" w14:textId="77777777" w:rsidR="00D80278" w:rsidRDefault="00D80278">
      <w:pPr>
        <w:jc w:val="both"/>
        <w:rPr>
          <w:rFonts w:ascii="Times-Roman" w:hAnsi="Times-Roman"/>
          <w:snapToGrid w:val="0"/>
          <w:sz w:val="24"/>
        </w:rPr>
      </w:pPr>
      <w:r>
        <w:rPr>
          <w:rFonts w:ascii="Times-Roman" w:hAnsi="Times-Roman"/>
          <w:snapToGrid w:val="0"/>
          <w:sz w:val="24"/>
        </w:rPr>
        <w:t>13.</w:t>
      </w:r>
      <w:r>
        <w:rPr>
          <w:rFonts w:ascii="Times-Roman" w:hAnsi="Times-Roman"/>
          <w:snapToGrid w:val="0"/>
          <w:sz w:val="24"/>
        </w:rPr>
        <w:tab/>
        <w:t>Click on “Interpret R.I.” to analyze the results of the R.I calculated.</w:t>
      </w:r>
    </w:p>
    <w:p w14:paraId="0281E186" w14:textId="77777777" w:rsidR="00D80278" w:rsidRDefault="00D80278">
      <w:pPr>
        <w:ind w:left="720" w:hanging="720"/>
        <w:jc w:val="both"/>
        <w:rPr>
          <w:rFonts w:ascii="Times-Roman" w:hAnsi="Times-Roman"/>
          <w:snapToGrid w:val="0"/>
          <w:sz w:val="24"/>
        </w:rPr>
      </w:pPr>
      <w:r>
        <w:rPr>
          <w:rFonts w:ascii="Times-Roman" w:hAnsi="Times-Roman"/>
          <w:snapToGrid w:val="0"/>
          <w:sz w:val="24"/>
        </w:rPr>
        <w:t>14.</w:t>
      </w:r>
      <w:r>
        <w:rPr>
          <w:rFonts w:ascii="Times-Roman" w:hAnsi="Times-Roman"/>
          <w:snapToGrid w:val="0"/>
          <w:sz w:val="24"/>
        </w:rPr>
        <w:tab/>
        <w:t>Record the relative risk of infection into Table 1 below.</w:t>
      </w:r>
    </w:p>
    <w:p w14:paraId="4BB57DBD" w14:textId="77777777" w:rsidR="00D80278" w:rsidRDefault="00D80278">
      <w:pPr>
        <w:pStyle w:val="BodyTextIndent"/>
        <w:jc w:val="both"/>
      </w:pPr>
      <w:r>
        <w:t>15.</w:t>
      </w:r>
      <w:r>
        <w:tab/>
        <w:t>Repeat steps 7 - 11 for the different restaurants as the hypothesis.</w:t>
      </w:r>
    </w:p>
    <w:p w14:paraId="0CA58E03" w14:textId="77777777" w:rsidR="00D80278" w:rsidRDefault="00D80278">
      <w:pPr>
        <w:rPr>
          <w:rFonts w:ascii="Times-Bold" w:hAnsi="Times-Bold"/>
          <w:b/>
          <w:snapToGrid w:val="0"/>
          <w:sz w:val="16"/>
        </w:rPr>
      </w:pPr>
    </w:p>
    <w:p w14:paraId="4645C51B" w14:textId="77777777" w:rsidR="00D80278" w:rsidRDefault="00D80278">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19"/>
        <w:gridCol w:w="2020"/>
        <w:gridCol w:w="2019"/>
        <w:gridCol w:w="2020"/>
        <w:gridCol w:w="2020"/>
      </w:tblGrid>
      <w:tr w:rsidR="00D80278" w14:paraId="07B7244C" w14:textId="77777777">
        <w:tblPrEx>
          <w:tblCellMar>
            <w:top w:w="0" w:type="dxa"/>
            <w:bottom w:w="0" w:type="dxa"/>
          </w:tblCellMar>
        </w:tblPrEx>
        <w:trPr>
          <w:trHeight w:val="350"/>
        </w:trPr>
        <w:tc>
          <w:tcPr>
            <w:tcW w:w="2019" w:type="dxa"/>
          </w:tcPr>
          <w:p w14:paraId="7DA7899A" w14:textId="77777777" w:rsidR="00D80278" w:rsidRDefault="00D80278">
            <w:pPr>
              <w:rPr>
                <w:rFonts w:ascii="Times-Bold" w:hAnsi="Times-Bold"/>
                <w:b/>
                <w:snapToGrid w:val="0"/>
                <w:sz w:val="24"/>
              </w:rPr>
            </w:pPr>
          </w:p>
        </w:tc>
        <w:tc>
          <w:tcPr>
            <w:tcW w:w="2020" w:type="dxa"/>
          </w:tcPr>
          <w:p w14:paraId="1F56CF42" w14:textId="77777777" w:rsidR="00D80278" w:rsidRDefault="00D80278">
            <w:pPr>
              <w:jc w:val="center"/>
              <w:rPr>
                <w:rFonts w:ascii="Times-Bold" w:hAnsi="Times-Bold"/>
                <w:snapToGrid w:val="0"/>
                <w:sz w:val="24"/>
              </w:rPr>
            </w:pPr>
            <w:r>
              <w:rPr>
                <w:rFonts w:ascii="Times-Bold" w:hAnsi="Times-Bold"/>
                <w:snapToGrid w:val="0"/>
                <w:sz w:val="24"/>
              </w:rPr>
              <w:t>Brutal Burgers</w:t>
            </w:r>
          </w:p>
        </w:tc>
        <w:tc>
          <w:tcPr>
            <w:tcW w:w="2019" w:type="dxa"/>
          </w:tcPr>
          <w:p w14:paraId="6059E99F" w14:textId="77777777" w:rsidR="00D80278" w:rsidRDefault="00D80278">
            <w:pPr>
              <w:jc w:val="center"/>
              <w:rPr>
                <w:rFonts w:ascii="Times-Bold" w:hAnsi="Times-Bold"/>
                <w:snapToGrid w:val="0"/>
                <w:sz w:val="24"/>
              </w:rPr>
            </w:pPr>
            <w:r>
              <w:rPr>
                <w:rFonts w:ascii="Times-Bold" w:hAnsi="Times-Bold"/>
                <w:snapToGrid w:val="0"/>
                <w:sz w:val="24"/>
              </w:rPr>
              <w:t>Sketchy Salads</w:t>
            </w:r>
          </w:p>
        </w:tc>
        <w:tc>
          <w:tcPr>
            <w:tcW w:w="2020" w:type="dxa"/>
          </w:tcPr>
          <w:p w14:paraId="74646003" w14:textId="77777777" w:rsidR="00D80278" w:rsidRDefault="00D80278">
            <w:pPr>
              <w:jc w:val="center"/>
              <w:rPr>
                <w:rFonts w:ascii="Times-Bold" w:hAnsi="Times-Bold"/>
                <w:snapToGrid w:val="0"/>
                <w:sz w:val="24"/>
              </w:rPr>
            </w:pPr>
            <w:r>
              <w:rPr>
                <w:rFonts w:ascii="Times-Bold" w:hAnsi="Times-Bold"/>
                <w:snapToGrid w:val="0"/>
                <w:sz w:val="24"/>
              </w:rPr>
              <w:t>Trashy Tacos</w:t>
            </w:r>
          </w:p>
        </w:tc>
        <w:tc>
          <w:tcPr>
            <w:tcW w:w="2020" w:type="dxa"/>
          </w:tcPr>
          <w:p w14:paraId="49C43878" w14:textId="77777777" w:rsidR="00D80278" w:rsidRDefault="00D80278">
            <w:pPr>
              <w:jc w:val="center"/>
              <w:rPr>
                <w:rFonts w:ascii="Times-Bold" w:hAnsi="Times-Bold"/>
                <w:snapToGrid w:val="0"/>
                <w:sz w:val="24"/>
              </w:rPr>
            </w:pPr>
            <w:r>
              <w:rPr>
                <w:rFonts w:ascii="Times-Bold" w:hAnsi="Times-Bold"/>
                <w:snapToGrid w:val="0"/>
                <w:sz w:val="24"/>
              </w:rPr>
              <w:t>Wretched Wraps</w:t>
            </w:r>
          </w:p>
        </w:tc>
      </w:tr>
      <w:tr w:rsidR="00D80278" w14:paraId="2868153E" w14:textId="77777777">
        <w:tblPrEx>
          <w:tblCellMar>
            <w:top w:w="0" w:type="dxa"/>
            <w:bottom w:w="0" w:type="dxa"/>
          </w:tblCellMar>
        </w:tblPrEx>
        <w:trPr>
          <w:trHeight w:val="611"/>
        </w:trPr>
        <w:tc>
          <w:tcPr>
            <w:tcW w:w="2019" w:type="dxa"/>
            <w:vAlign w:val="center"/>
          </w:tcPr>
          <w:p w14:paraId="17F81CC7" w14:textId="77777777" w:rsidR="00D80278" w:rsidRDefault="00D80278">
            <w:pPr>
              <w:pStyle w:val="Heading2"/>
              <w:jc w:val="center"/>
            </w:pPr>
            <w:r>
              <w:t>Relative Risk of Infection</w:t>
            </w:r>
          </w:p>
        </w:tc>
        <w:tc>
          <w:tcPr>
            <w:tcW w:w="2020" w:type="dxa"/>
            <w:vAlign w:val="center"/>
          </w:tcPr>
          <w:p w14:paraId="2474B55E" w14:textId="77777777" w:rsidR="00D80278" w:rsidRDefault="00D80278">
            <w:pPr>
              <w:jc w:val="center"/>
              <w:rPr>
                <w:rFonts w:ascii="Times-Bold" w:hAnsi="Times-Bold"/>
                <w:b/>
                <w:snapToGrid w:val="0"/>
                <w:sz w:val="24"/>
              </w:rPr>
            </w:pPr>
          </w:p>
        </w:tc>
        <w:tc>
          <w:tcPr>
            <w:tcW w:w="2019" w:type="dxa"/>
            <w:vAlign w:val="center"/>
          </w:tcPr>
          <w:p w14:paraId="2C5E9E08" w14:textId="77777777" w:rsidR="00D80278" w:rsidRDefault="00D80278">
            <w:pPr>
              <w:jc w:val="center"/>
              <w:rPr>
                <w:rFonts w:ascii="Times-Bold" w:hAnsi="Times-Bold"/>
                <w:b/>
                <w:snapToGrid w:val="0"/>
                <w:sz w:val="24"/>
              </w:rPr>
            </w:pPr>
          </w:p>
        </w:tc>
        <w:tc>
          <w:tcPr>
            <w:tcW w:w="2020" w:type="dxa"/>
            <w:vAlign w:val="center"/>
          </w:tcPr>
          <w:p w14:paraId="44E16C4D" w14:textId="77777777" w:rsidR="00D80278" w:rsidRDefault="00D80278">
            <w:pPr>
              <w:jc w:val="center"/>
              <w:rPr>
                <w:rFonts w:ascii="Times-Bold" w:hAnsi="Times-Bold"/>
                <w:b/>
                <w:snapToGrid w:val="0"/>
                <w:sz w:val="24"/>
              </w:rPr>
            </w:pPr>
          </w:p>
        </w:tc>
        <w:tc>
          <w:tcPr>
            <w:tcW w:w="2020" w:type="dxa"/>
            <w:vAlign w:val="center"/>
          </w:tcPr>
          <w:p w14:paraId="1704A62F" w14:textId="77777777" w:rsidR="00D80278" w:rsidRDefault="00D80278">
            <w:pPr>
              <w:jc w:val="center"/>
              <w:rPr>
                <w:rFonts w:ascii="Times-Bold" w:hAnsi="Times-Bold"/>
                <w:b/>
                <w:snapToGrid w:val="0"/>
                <w:sz w:val="24"/>
              </w:rPr>
            </w:pPr>
          </w:p>
        </w:tc>
      </w:tr>
    </w:tbl>
    <w:p w14:paraId="3C03BFE5" w14:textId="77777777" w:rsidR="00D80278" w:rsidRDefault="00D80278">
      <w:pPr>
        <w:rPr>
          <w:rFonts w:ascii="Times-Bold" w:hAnsi="Times-Bold"/>
          <w:b/>
          <w:snapToGrid w:val="0"/>
          <w:sz w:val="16"/>
        </w:rPr>
      </w:pPr>
    </w:p>
    <w:p w14:paraId="76E57BE5" w14:textId="77777777" w:rsidR="00D80278" w:rsidRDefault="00D80278">
      <w:pPr>
        <w:rPr>
          <w:rFonts w:ascii="Times-Bold" w:hAnsi="Times-Bold"/>
          <w:b/>
          <w:snapToGrid w:val="0"/>
          <w:sz w:val="24"/>
        </w:rPr>
      </w:pPr>
      <w:r>
        <w:rPr>
          <w:rFonts w:ascii="Times-Bold" w:hAnsi="Times-Bold"/>
          <w:b/>
          <w:snapToGrid w:val="0"/>
          <w:sz w:val="24"/>
        </w:rPr>
        <w:t>Do You Understand?</w:t>
      </w:r>
    </w:p>
    <w:p w14:paraId="5CCEF9E0" w14:textId="77777777" w:rsidR="00D80278" w:rsidRDefault="00D80278">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Usually, a source will be a lot harder to locate with hundreds of potential contamination sites. Some people might get infected, while others who eat the same food will be fine, making the location of the site more difficult to find. If this were the case, how would you narrow down which restaurants were the cause of the food poisoning?</w:t>
      </w:r>
    </w:p>
    <w:sectPr w:rsidR="00D80278">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75788E"/>
    <w:multiLevelType w:val="hybridMultilevel"/>
    <w:tmpl w:val="64AECE04"/>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1FEA1A03"/>
    <w:multiLevelType w:val="hybridMultilevel"/>
    <w:tmpl w:val="7CF07208"/>
    <w:lvl w:ilvl="0">
      <w:start w:val="13"/>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26BE011A"/>
    <w:multiLevelType w:val="hybridMultilevel"/>
    <w:tmpl w:val="F4E2276A"/>
    <w:lvl w:ilvl="0">
      <w:start w:val="1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55061258"/>
    <w:multiLevelType w:val="singleLevel"/>
    <w:tmpl w:val="D6900724"/>
    <w:lvl w:ilvl="0">
      <w:start w:val="10"/>
      <w:numFmt w:val="decimal"/>
      <w:lvlText w:val="%1."/>
      <w:lvlJc w:val="left"/>
      <w:pPr>
        <w:tabs>
          <w:tab w:val="num" w:pos="720"/>
        </w:tabs>
        <w:ind w:left="720" w:hanging="72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8FF"/>
    <w:rsid w:val="00061472"/>
    <w:rsid w:val="002E48C7"/>
    <w:rsid w:val="005B38FF"/>
    <w:rsid w:val="00D44F28"/>
    <w:rsid w:val="00D8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F3130E"/>
  <w15:chartTrackingRefBased/>
  <w15:docId w15:val="{76A1C216-4791-0442-8B9A-9A9090A3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362</Words>
  <Characters>2065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cp:lastPrinted>2012-02-28T19:14:00Z</cp:lastPrinted>
  <dcterms:created xsi:type="dcterms:W3CDTF">2020-12-16T15:01:00Z</dcterms:created>
  <dcterms:modified xsi:type="dcterms:W3CDTF">2020-12-16T15:01:00Z</dcterms:modified>
</cp:coreProperties>
</file>